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89AA6">
      <w:pPr>
        <w:adjustRightInd w:val="0"/>
        <w:snapToGrid w:val="0"/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07E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焦桐杯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”团日活动设计大赛评分细则</w:t>
      </w:r>
    </w:p>
    <w:p w14:paraId="07C04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bidi="ar"/>
        </w:rPr>
        <w:t>一、书面评审（满分100分）</w:t>
      </w:r>
    </w:p>
    <w:p w14:paraId="125F1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bidi="ar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．活动方案（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分）</w:t>
      </w:r>
    </w:p>
    <w:p w14:paraId="5CB85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主题鲜明、内容充实、重点突出，具有一定的学习和教育意义，流程规划明晰、详尽，对可能出现的问题有预案。</w:t>
      </w:r>
    </w:p>
    <w:p w14:paraId="0C94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bidi="ar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．活动过程（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分）</w:t>
      </w:r>
    </w:p>
    <w:p w14:paraId="69F2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按文件规定的时间及时上报信息及材料；活动形式新颖独到，能充分调动支部成员参与的积极性，参加人数达本团支部人数的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80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％以上。</w:t>
      </w:r>
    </w:p>
    <w:p w14:paraId="2D537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bidi="ar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．活动总结（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70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分）</w:t>
      </w:r>
    </w:p>
    <w:p w14:paraId="19397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总结材料内容充实，概括全面，详细阐述和分析活动开展中的优点和不足，充分体现支部团日活动的特色之处，总结方案结合自身实际，从各自不同层面制定、细化实施方案，分工合理，全员参与，切实保证支部每一名团员在活动过程中受教育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。</w:t>
      </w:r>
    </w:p>
    <w:p w14:paraId="3108E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</w:p>
    <w:p w14:paraId="0A683012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bidi="ar"/>
        </w:rPr>
        <w:t>二、答辩评审（满分100分）</w:t>
      </w:r>
    </w:p>
    <w:p w14:paraId="772EB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决赛以公开答辩的形式进行，通过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分钟以内的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PPT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进行展示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并接受评委提问。</w:t>
      </w:r>
    </w:p>
    <w:p w14:paraId="43C0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．演讲者着装得体，举止自然大方，精神饱满（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分）；</w:t>
      </w:r>
    </w:p>
    <w:p w14:paraId="548C8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．切合团日活动主题，结构合理，层次分明，逻辑性强（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40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分）；</w:t>
      </w:r>
    </w:p>
    <w:p w14:paraId="3C7A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．创意新颖，展示手段新颖、多样（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分）；</w:t>
      </w:r>
    </w:p>
    <w:p w14:paraId="3B9B5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．普通话标准，吐字清晰，有较强的语言表达能力（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分）；</w:t>
      </w:r>
    </w:p>
    <w:p w14:paraId="1B7D2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 xml:space="preserve">5.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逻辑思维强，应变敏捷</w:t>
      </w:r>
      <w:r>
        <w:rPr>
          <w:rFonts w:hint="eastAsia" w:ascii="仿宋_GB2312" w:hAnsi="Times New Roman" w:cs="仿宋_GB2312"/>
          <w:sz w:val="32"/>
          <w:szCs w:val="32"/>
          <w:lang w:eastAsia="zh-CN" w:bidi="ar"/>
        </w:rPr>
        <w:t>（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分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)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。</w:t>
      </w:r>
    </w:p>
    <w:p w14:paraId="399FE068">
      <w:pPr>
        <w:autoSpaceDE w:val="0"/>
        <w:autoSpaceDN w:val="0"/>
        <w:adjustRightInd w:val="0"/>
        <w:snapToGrid w:val="0"/>
        <w:spacing w:line="348" w:lineRule="auto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  <w:lang w:bidi="ar"/>
        </w:rPr>
      </w:pPr>
    </w:p>
    <w:p w14:paraId="080CCE0B">
      <w:pPr>
        <w:rPr>
          <w:sz w:val="32"/>
          <w:szCs w:val="32"/>
        </w:rPr>
      </w:pPr>
    </w:p>
    <w:p w14:paraId="78E9E3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5E527E-B718-4BCD-B470-88AC44F1A9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48F433F-38BA-4DF6-BB93-BD2FAF8A46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EA1F0C-043D-4BA0-8F2A-499E3A9FED6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C4DE5A0-DDCE-45E5-B3ED-36E10365B04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TE1YjUyOWI4YWIwNDI1NzM5YTZlNjcwMWNjYWEifQ=="/>
  </w:docVars>
  <w:rsids>
    <w:rsidRoot w:val="37EE68B9"/>
    <w:rsid w:val="08296773"/>
    <w:rsid w:val="37EE68B9"/>
    <w:rsid w:val="6C12315A"/>
    <w:rsid w:val="7A6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2024-11-25T07:53:00Z</dcterms:created>
  <dc:creator>孙先生</dc:creator>
  <cp:lastModifiedBy>孙先生</cp:lastModifiedBy>
  <dcterms:modified xsi:type="dcterms:W3CDTF">2024-11-25T07:55:28Z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41193543D62748F68781B50267B496B2_13</vt:lpwstr>
  </property>
</Properties>
</file>